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The Hidden Cost of Living: </w:t>
      </w:r>
    </w:p>
    <w:p w:rsidR="00000000" w:rsidDel="00000000" w:rsidP="00000000" w:rsidRDefault="00000000" w:rsidRPr="00000000" w14:paraId="00000002">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 Memo on how Housing Instability Drives Food Insecurity in NYC</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344160</wp:posOffset>
            </wp:positionV>
            <wp:extent cx="5943600" cy="2032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03200"/>
                    </a:xfrm>
                    <a:prstGeom prst="rect"/>
                    <a:ln/>
                  </pic:spPr>
                </pic:pic>
              </a:graphicData>
            </a:graphic>
          </wp:anchor>
        </w:drawing>
      </w:r>
    </w:p>
    <w:p w:rsidR="00000000" w:rsidDel="00000000" w:rsidP="00000000" w:rsidRDefault="00000000" w:rsidRPr="00000000" w14:paraId="00000003">
      <w:pPr>
        <w:rPr>
          <w:rFonts w:ascii="Times New Roman" w:cs="Times New Roman" w:eastAsia="Times New Roman" w:hAnsi="Times New Roman"/>
          <w:b w:val="1"/>
          <w:color w:val="a02b93"/>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a02b93"/>
          <w:sz w:val="28"/>
          <w:szCs w:val="28"/>
        </w:rPr>
      </w:pPr>
      <w:r w:rsidDel="00000000" w:rsidR="00000000" w:rsidRPr="00000000">
        <w:rPr>
          <w:rtl w:val="0"/>
        </w:rPr>
      </w:r>
    </w:p>
    <w:p w:rsidR="00000000" w:rsidDel="00000000" w:rsidP="00000000" w:rsidRDefault="00000000" w:rsidRPr="00000000" w14:paraId="00000005">
      <w:pPr>
        <w:spacing w:line="278.0000000000000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The Landscape of Food Insecurity and Housing Prices in NYC</w:t>
      </w:r>
      <w:r w:rsidDel="00000000" w:rsidR="00000000" w:rsidRPr="00000000">
        <w:rPr>
          <w:rtl w:val="0"/>
        </w:rPr>
      </w:r>
    </w:p>
    <w:p w:rsidR="00000000" w:rsidDel="00000000" w:rsidP="00000000" w:rsidRDefault="00000000" w:rsidRPr="00000000" w14:paraId="00000006">
      <w:pPr>
        <w:spacing w:line="27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2024 Feeding America data, 15% of</w:t>
      </w:r>
      <w:r w:rsidDel="00000000" w:rsidR="00000000" w:rsidRPr="00000000">
        <w:rPr>
          <w:rFonts w:ascii="Times New Roman" w:cs="Times New Roman" w:eastAsia="Times New Roman" w:hAnsi="Times New Roman"/>
          <w:sz w:val="24"/>
          <w:szCs w:val="24"/>
          <w:rtl w:val="0"/>
        </w:rPr>
        <w:t xml:space="preserve"> New Yorkers face food insecurity, which they define as someone who does not have enough to eat and may not know where their next meal will come from</w:t>
      </w:r>
      <w:r w:rsidDel="00000000" w:rsidR="00000000" w:rsidRPr="00000000">
        <w:rPr>
          <w:rFonts w:ascii="Times New Roman" w:cs="Times New Roman" w:eastAsia="Times New Roman" w:hAnsi="Times New Roman"/>
          <w:sz w:val="24"/>
          <w:szCs w:val="24"/>
          <w:rtl w:val="0"/>
        </w:rPr>
        <w:t xml:space="preserve">.</w:t>
      </w:r>
      <w:hyperlink r:id="rId7">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w:t>
        </w:r>
      </w:hyperlink>
      <w:r w:rsidDel="00000000" w:rsidR="00000000" w:rsidRPr="00000000">
        <w:rPr>
          <w:rFonts w:ascii="Times New Roman" w:cs="Times New Roman" w:eastAsia="Times New Roman" w:hAnsi="Times New Roman"/>
          <w:sz w:val="24"/>
          <w:szCs w:val="24"/>
          <w:rtl w:val="0"/>
        </w:rPr>
        <w:t xml:space="preserve"> The rate among children in NYC is much higher (24%).</w:t>
      </w:r>
      <w:hyperlink r:id="rId8">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Roughly</w:t>
      </w:r>
      <w:r w:rsidDel="00000000" w:rsidR="00000000" w:rsidRPr="00000000">
        <w:rPr>
          <w:rFonts w:ascii="Times New Roman" w:cs="Times New Roman" w:eastAsia="Times New Roman" w:hAnsi="Times New Roman"/>
          <w:sz w:val="24"/>
          <w:szCs w:val="24"/>
          <w:rtl w:val="0"/>
        </w:rPr>
        <w:t xml:space="preserve"> 50% of working-age </w:t>
      </w:r>
      <w:r w:rsidDel="00000000" w:rsidR="00000000" w:rsidRPr="00000000">
        <w:rPr>
          <w:rFonts w:ascii="Times New Roman" w:cs="Times New Roman" w:eastAsia="Times New Roman" w:hAnsi="Times New Roman"/>
          <w:sz w:val="24"/>
          <w:szCs w:val="24"/>
          <w:rtl w:val="0"/>
        </w:rPr>
        <w:t xml:space="preserve">households</w:t>
      </w:r>
      <w:r w:rsidDel="00000000" w:rsidR="00000000" w:rsidRPr="00000000">
        <w:rPr>
          <w:rFonts w:ascii="Times New Roman" w:cs="Times New Roman" w:eastAsia="Times New Roman" w:hAnsi="Times New Roman"/>
          <w:sz w:val="24"/>
          <w:szCs w:val="24"/>
          <w:rtl w:val="0"/>
        </w:rPr>
        <w:t xml:space="preserve"> do not have enough income to cover the monthly cost of housing, food, childcare, healthcare, and transportation.</w:t>
      </w:r>
      <w:hyperlink r:id="rId9">
        <w:r w:rsidDel="00000000" w:rsidR="00000000" w:rsidRPr="00000000">
          <w:rPr>
            <w:rFonts w:ascii="Times New Roman" w:cs="Times New Roman" w:eastAsia="Times New Roman" w:hAnsi="Times New Roman"/>
            <w:b w:val="0"/>
            <w:color w:val="000000"/>
            <w:sz w:val="24"/>
            <w:szCs w:val="24"/>
            <w:u w:val="none"/>
            <w:vertAlign w:val="superscript"/>
            <w:rtl w:val="0"/>
          </w:rPr>
          <w:t xml:space="preserve">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NYC has one the highest housing price-to-income ratios in the count</w:t>
      </w:r>
      <w:r w:rsidDel="00000000" w:rsidR="00000000" w:rsidRPr="00000000">
        <w:rPr>
          <w:rFonts w:ascii="Times New Roman" w:cs="Times New Roman" w:eastAsia="Times New Roman" w:hAnsi="Times New Roman"/>
          <w:sz w:val="24"/>
          <w:szCs w:val="24"/>
          <w:rtl w:val="0"/>
        </w:rPr>
        <w:t xml:space="preserve">ry,</w:t>
      </w:r>
      <w:hyperlink r:id="rId10">
        <w:r w:rsidDel="00000000" w:rsidR="00000000" w:rsidRPr="00000000">
          <w:rPr>
            <w:rFonts w:ascii="Times New Roman" w:cs="Times New Roman" w:eastAsia="Times New Roman" w:hAnsi="Times New Roman"/>
            <w:b w:val="0"/>
            <w:color w:val="000000"/>
            <w:sz w:val="24"/>
            <w:szCs w:val="24"/>
            <w:u w:val="none"/>
            <w:vertAlign w:val="superscript"/>
            <w:rtl w:val="0"/>
          </w:rPr>
          <w:t xml:space="preserve">4</w:t>
        </w:r>
      </w:hyperlink>
      <w:r w:rsidDel="00000000" w:rsidR="00000000" w:rsidRPr="00000000">
        <w:rPr>
          <w:rFonts w:ascii="Times New Roman" w:cs="Times New Roman" w:eastAsia="Times New Roman" w:hAnsi="Times New Roman"/>
          <w:sz w:val="24"/>
          <w:szCs w:val="24"/>
          <w:rtl w:val="0"/>
        </w:rPr>
        <w:t xml:space="preserve"> a disparity that disproportionately impacts communities of color and seniors.</w:t>
      </w:r>
      <w:hyperlink r:id="rId11">
        <w:r w:rsidDel="00000000" w:rsidR="00000000" w:rsidRPr="00000000">
          <w:rPr>
            <w:rFonts w:ascii="Times New Roman" w:cs="Times New Roman" w:eastAsia="Times New Roman" w:hAnsi="Times New Roman"/>
            <w:b w:val="0"/>
            <w:color w:val="000000"/>
            <w:sz w:val="24"/>
            <w:szCs w:val="24"/>
            <w:u w:val="none"/>
            <w:vertAlign w:val="superscript"/>
            <w:rtl w:val="0"/>
          </w:rPr>
          <w:t xml:space="preserve">5</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brief describes how housing instability contributes to high rates of food insecurity in the greater New York City area and provides evidence-based policy recommendations to address these two issues. </w:t>
      </w:r>
    </w:p>
    <w:p w:rsidR="00000000" w:rsidDel="00000000" w:rsidP="00000000" w:rsidRDefault="00000000" w:rsidRPr="00000000" w14:paraId="00000007">
      <w:pPr>
        <w:spacing w:line="278.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8.0000000000000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The Links Between Housing and Food Insecurity </w:t>
      </w:r>
      <w:r w:rsidDel="00000000" w:rsidR="00000000" w:rsidRPr="00000000">
        <w:rPr>
          <w:rtl w:val="0"/>
        </w:rPr>
      </w:r>
    </w:p>
    <w:p w:rsidR="00000000" w:rsidDel="00000000" w:rsidP="00000000" w:rsidRDefault="00000000" w:rsidRPr="00000000" w14:paraId="00000009">
      <w:pPr>
        <w:spacing w:line="27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w:t>
      </w:r>
      <w:r w:rsidDel="00000000" w:rsidR="00000000" w:rsidRPr="00000000">
        <w:rPr>
          <w:rFonts w:ascii="Times New Roman" w:cs="Times New Roman" w:eastAsia="Times New Roman" w:hAnsi="Times New Roman"/>
          <w:sz w:val="24"/>
          <w:szCs w:val="24"/>
          <w:rtl w:val="0"/>
        </w:rPr>
        <w:t xml:space="preserve"> have demonstrated strong associations between food insecurity and housing stability</w:t>
      </w:r>
      <w:hyperlink r:id="rId12">
        <w:r w:rsidDel="00000000" w:rsidR="00000000" w:rsidRPr="00000000">
          <w:rPr>
            <w:rFonts w:ascii="Times New Roman" w:cs="Times New Roman" w:eastAsia="Times New Roman" w:hAnsi="Times New Roman"/>
            <w:b w:val="0"/>
            <w:color w:val="000000"/>
            <w:sz w:val="24"/>
            <w:szCs w:val="24"/>
            <w:u w:val="none"/>
            <w:vertAlign w:val="superscript"/>
            <w:rtl w:val="0"/>
          </w:rPr>
          <w:t xml:space="preserve">6</w:t>
        </w:r>
      </w:hyperlink>
      <w:r w:rsidDel="00000000" w:rsidR="00000000" w:rsidRPr="00000000">
        <w:rPr>
          <w:rFonts w:ascii="Times New Roman" w:cs="Times New Roman" w:eastAsia="Times New Roman" w:hAnsi="Times New Roman"/>
          <w:sz w:val="24"/>
          <w:szCs w:val="24"/>
          <w:rtl w:val="0"/>
        </w:rPr>
        <w:t xml:space="preserve"> with those experiencing food insecurity facing additional hardships such as childcare and healthcare.</w:t>
      </w:r>
      <w:hyperlink r:id="rId13">
        <w:r w:rsidDel="00000000" w:rsidR="00000000" w:rsidRPr="00000000">
          <w:rPr>
            <w:rFonts w:ascii="Times New Roman" w:cs="Times New Roman" w:eastAsia="Times New Roman" w:hAnsi="Times New Roman"/>
            <w:b w:val="0"/>
            <w:color w:val="000000"/>
            <w:sz w:val="24"/>
            <w:szCs w:val="24"/>
            <w:u w:val="none"/>
            <w:vertAlign w:val="superscript"/>
            <w:rtl w:val="0"/>
          </w:rPr>
          <w:t xml:space="preserve">7</w:t>
        </w:r>
      </w:hyperlink>
      <w:r w:rsidDel="00000000" w:rsidR="00000000" w:rsidRPr="00000000">
        <w:rPr>
          <w:sz w:val="24"/>
          <w:szCs w:val="24"/>
          <w:vertAlign w:val="superscript"/>
          <w:rtl w:val="0"/>
        </w:rPr>
        <w:t xml:space="preserve">,</w:t>
      </w:r>
      <w:hyperlink r:id="rId14">
        <w:r w:rsidDel="00000000" w:rsidR="00000000" w:rsidRPr="00000000">
          <w:rPr>
            <w:b w:val="0"/>
            <w:color w:val="000000"/>
            <w:sz w:val="24"/>
            <w:szCs w:val="24"/>
            <w:u w:val="none"/>
            <w:vertAlign w:val="superscript"/>
            <w:rtl w:val="0"/>
          </w:rPr>
          <w:t xml:space="preserve">8</w:t>
        </w:r>
      </w:hyperlink>
      <w:r w:rsidDel="00000000" w:rsidR="00000000" w:rsidRPr="00000000">
        <w:rPr>
          <w:rFonts w:ascii="Times New Roman" w:cs="Times New Roman" w:eastAsia="Times New Roman" w:hAnsi="Times New Roman"/>
          <w:sz w:val="24"/>
          <w:szCs w:val="24"/>
          <w:rtl w:val="0"/>
        </w:rPr>
        <w:t xml:space="preserve"> Individuals struggling with housing instability are also more likely to experience food insecurity and vice versa.</w:t>
      </w:r>
      <w:hyperlink r:id="rId15">
        <w:r w:rsidDel="00000000" w:rsidR="00000000" w:rsidRPr="00000000">
          <w:rPr>
            <w:rFonts w:ascii="Times New Roman" w:cs="Times New Roman" w:eastAsia="Times New Roman" w:hAnsi="Times New Roman"/>
            <w:b w:val="0"/>
            <w:color w:val="000000"/>
            <w:sz w:val="24"/>
            <w:szCs w:val="24"/>
            <w:u w:val="none"/>
            <w:vertAlign w:val="superscript"/>
            <w:rtl w:val="0"/>
          </w:rPr>
          <w:t xml:space="preserve">9</w:t>
        </w:r>
      </w:hyperlink>
      <w:r w:rsidDel="00000000" w:rsidR="00000000" w:rsidRPr="00000000">
        <w:rPr>
          <w:rFonts w:ascii="Times New Roman" w:cs="Times New Roman" w:eastAsia="Times New Roman" w:hAnsi="Times New Roman"/>
          <w:sz w:val="24"/>
          <w:szCs w:val="24"/>
          <w:rtl w:val="0"/>
        </w:rPr>
        <w:t xml:space="preserve"> Current policies address these two issues </w:t>
      </w:r>
      <w:r w:rsidDel="00000000" w:rsidR="00000000" w:rsidRPr="00000000">
        <w:rPr>
          <w:rFonts w:ascii="Times New Roman" w:cs="Times New Roman" w:eastAsia="Times New Roman" w:hAnsi="Times New Roman"/>
          <w:sz w:val="24"/>
          <w:szCs w:val="24"/>
          <w:rtl w:val="0"/>
        </w:rPr>
        <w:t xml:space="preserve">independently</w:t>
      </w:r>
      <w:r w:rsidDel="00000000" w:rsidR="00000000" w:rsidRPr="00000000">
        <w:rPr>
          <w:rFonts w:ascii="Times New Roman" w:cs="Times New Roman" w:eastAsia="Times New Roman" w:hAnsi="Times New Roman"/>
          <w:sz w:val="24"/>
          <w:szCs w:val="24"/>
          <w:rtl w:val="0"/>
        </w:rPr>
        <w:t xml:space="preserve">, rather than recognizing their interconnection, which </w:t>
      </w:r>
      <w:r w:rsidDel="00000000" w:rsidR="00000000" w:rsidRPr="00000000">
        <w:rPr>
          <w:rFonts w:ascii="Times New Roman" w:cs="Times New Roman" w:eastAsia="Times New Roman" w:hAnsi="Times New Roman"/>
          <w:sz w:val="24"/>
          <w:szCs w:val="24"/>
          <w:rtl w:val="0"/>
        </w:rPr>
        <w:t xml:space="preserve">exacerbates the competition between housing and food costs.</w:t>
      </w:r>
      <w:hyperlink r:id="rId16">
        <w:r w:rsidDel="00000000" w:rsidR="00000000" w:rsidRPr="00000000">
          <w:rPr>
            <w:rFonts w:ascii="Times New Roman" w:cs="Times New Roman" w:eastAsia="Times New Roman" w:hAnsi="Times New Roman"/>
            <w:b w:val="0"/>
            <w:color w:val="000000"/>
            <w:sz w:val="24"/>
            <w:szCs w:val="24"/>
            <w:u w:val="none"/>
            <w:vertAlign w:val="superscript"/>
            <w:rtl w:val="0"/>
          </w:rPr>
          <w:t xml:space="preserve">9</w:t>
        </w:r>
      </w:hyperlink>
      <w:r w:rsidDel="00000000" w:rsidR="00000000" w:rsidRPr="00000000">
        <w:rPr>
          <w:rFonts w:ascii="Times New Roman" w:cs="Times New Roman" w:eastAsia="Times New Roman" w:hAnsi="Times New Roman"/>
          <w:sz w:val="24"/>
          <w:szCs w:val="24"/>
          <w:vertAlign w:val="superscript"/>
          <w:rtl w:val="0"/>
        </w:rPr>
        <w:t xml:space="preserve">,</w:t>
      </w:r>
      <w:hyperlink r:id="rId17">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10</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leaves individuals with less control over their household budgets, often forcing them to choose between basic essentials.</w:t>
      </w:r>
      <w:hyperlink r:id="rId18">
        <w:r w:rsidDel="00000000" w:rsidR="00000000" w:rsidRPr="00000000">
          <w:rPr>
            <w:rFonts w:ascii="Times New Roman" w:cs="Times New Roman" w:eastAsia="Times New Roman" w:hAnsi="Times New Roman"/>
            <w:b w:val="0"/>
            <w:color w:val="000000"/>
            <w:sz w:val="24"/>
            <w:szCs w:val="24"/>
            <w:u w:val="none"/>
            <w:vertAlign w:val="superscript"/>
            <w:rtl w:val="0"/>
          </w:rPr>
          <w:t xml:space="preserve">7,11</w:t>
        </w:r>
      </w:hyperlink>
      <w:r w:rsidDel="00000000" w:rsidR="00000000" w:rsidRPr="00000000">
        <w:rPr>
          <w:sz w:val="24"/>
          <w:szCs w:val="24"/>
          <w:vertAlign w:val="superscript"/>
          <w:rtl w:val="0"/>
        </w:rPr>
        <w:t xml:space="preserve">,</w:t>
      </w:r>
      <w:hyperlink r:id="rId19">
        <w:r w:rsidDel="00000000" w:rsidR="00000000" w:rsidRPr="00000000">
          <w:rPr>
            <w:b w:val="0"/>
            <w:color w:val="000000"/>
            <w:sz w:val="24"/>
            <w:szCs w:val="24"/>
            <w:u w:val="none"/>
            <w:vertAlign w:val="superscript"/>
            <w:rtl w:val="0"/>
          </w:rPr>
          <w:t xml:space="preserve">12</w:t>
        </w:r>
      </w:hyperlink>
      <w:r w:rsidDel="00000000" w:rsidR="00000000" w:rsidRPr="00000000">
        <w:rPr>
          <w:rFonts w:ascii="Times New Roman" w:cs="Times New Roman" w:eastAsia="Times New Roman" w:hAnsi="Times New Roman"/>
          <w:sz w:val="24"/>
          <w:szCs w:val="24"/>
          <w:rtl w:val="0"/>
        </w:rPr>
        <w:t xml:space="preserve"> Furthermore, individuals frequently resort to making less healthful dietary choices when constrained by limited budgets.</w:t>
      </w:r>
      <w:hyperlink r:id="rId20">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10</w:t>
        </w:r>
      </w:hyperlink>
      <w:r w:rsidDel="00000000" w:rsidR="00000000" w:rsidRPr="00000000">
        <w:rPr>
          <w:vertAlign w:val="superscript"/>
          <w:rtl w:val="0"/>
        </w:rPr>
        <w:t xml:space="preserve">,</w:t>
      </w:r>
      <w:hyperlink r:id="rId21">
        <w:r w:rsidDel="00000000" w:rsidR="00000000" w:rsidRPr="00000000">
          <w:rPr>
            <w:b w:val="0"/>
            <w:color w:val="000000"/>
            <w:u w:val="none"/>
            <w:vertAlign w:val="superscript"/>
            <w:rtl w:val="0"/>
          </w:rPr>
          <w:t xml:space="preserve">11</w:t>
        </w:r>
      </w:hyperlink>
      <w:r w:rsidDel="00000000" w:rsidR="00000000" w:rsidRPr="00000000">
        <w:rPr>
          <w:rFonts w:ascii="Times New Roman" w:cs="Times New Roman" w:eastAsia="Times New Roman" w:hAnsi="Times New Roman"/>
          <w:sz w:val="24"/>
          <w:szCs w:val="24"/>
          <w:rtl w:val="0"/>
        </w:rPr>
        <w:t xml:space="preserve"> A study examining the relationship between diet quality and housing instability in urban settings found that housing instability (e.g., homelessness, sheltered living, pending evictions) was associated with poorer diet quality among parents. These parents were found to score in the lowest quartile of the Healthy Eating Index.</w:t>
      </w:r>
      <w:hyperlink r:id="rId22">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13</w:t>
        </w:r>
      </w:hyperlink>
      <w:r w:rsidDel="00000000" w:rsidR="00000000" w:rsidRPr="00000000">
        <w:rPr>
          <w:rtl w:val="0"/>
        </w:rPr>
      </w:r>
    </w:p>
    <w:p w:rsidR="00000000" w:rsidDel="00000000" w:rsidP="00000000" w:rsidRDefault="00000000" w:rsidRPr="00000000" w14:paraId="0000000A">
      <w:pPr>
        <w:spacing w:line="27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78.0000000000000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Policy Recommendations </w:t>
      </w:r>
      <w:r w:rsidDel="00000000" w:rsidR="00000000" w:rsidRPr="00000000">
        <w:rPr>
          <w:rtl w:val="0"/>
        </w:rPr>
      </w:r>
    </w:p>
    <w:p w:rsidR="00000000" w:rsidDel="00000000" w:rsidP="00000000" w:rsidRDefault="00000000" w:rsidRPr="00000000" w14:paraId="0000000C">
      <w:pPr>
        <w:spacing w:line="27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has demonstrated a bidirectional relationship between housing instability and food insecurity. This burden is particularly severe in New York City, where the high cost of living exceeds national averages. Addressing these interconnected challenges requires a comprehensive, holistic approach that recognizes and addresses the deep links between housing instability and food insecurity. The 2024 zoning </w:t>
      </w:r>
      <w:r w:rsidDel="00000000" w:rsidR="00000000" w:rsidRPr="00000000">
        <w:rPr>
          <w:rFonts w:ascii="Times New Roman" w:cs="Times New Roman" w:eastAsia="Times New Roman" w:hAnsi="Times New Roman"/>
          <w:sz w:val="24"/>
          <w:szCs w:val="24"/>
          <w:rtl w:val="0"/>
        </w:rPr>
        <w:t xml:space="preserve">initiative</w:t>
      </w:r>
      <w:r w:rsidDel="00000000" w:rsidR="00000000" w:rsidRPr="00000000">
        <w:rPr>
          <w:rFonts w:ascii="Times New Roman" w:cs="Times New Roman" w:eastAsia="Times New Roman" w:hAnsi="Times New Roman"/>
          <w:sz w:val="24"/>
          <w:szCs w:val="24"/>
          <w:rtl w:val="0"/>
        </w:rPr>
        <w:t xml:space="preserve"> “City of Yes for Housing Opportunity” highlights the potential of zoning changes to address housing instability by increasing housing supply and improving infrastructure.</w:t>
      </w:r>
      <w:hyperlink r:id="rId23">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14</w:t>
        </w:r>
      </w:hyperlink>
      <w:r w:rsidDel="00000000" w:rsidR="00000000" w:rsidRPr="00000000">
        <w:rPr>
          <w:rFonts w:ascii="Times New Roman" w:cs="Times New Roman" w:eastAsia="Times New Roman" w:hAnsi="Times New Roman"/>
          <w:sz w:val="24"/>
          <w:szCs w:val="24"/>
          <w:rtl w:val="0"/>
        </w:rPr>
        <w:t xml:space="preserve"> Such initiatives complement efforts to strengthen and expand </w:t>
      </w:r>
      <w:r w:rsidDel="00000000" w:rsidR="00000000" w:rsidRPr="00000000">
        <w:rPr>
          <w:rFonts w:ascii="Times New Roman" w:cs="Times New Roman" w:eastAsia="Times New Roman" w:hAnsi="Times New Roman"/>
          <w:sz w:val="24"/>
          <w:szCs w:val="24"/>
          <w:rtl w:val="0"/>
        </w:rPr>
        <w:t xml:space="preserve">housing voucher programs</w:t>
      </w:r>
      <w:r w:rsidDel="00000000" w:rsidR="00000000" w:rsidRPr="00000000">
        <w:rPr>
          <w:rFonts w:ascii="Times New Roman" w:cs="Times New Roman" w:eastAsia="Times New Roman" w:hAnsi="Times New Roman"/>
          <w:sz w:val="24"/>
          <w:szCs w:val="24"/>
          <w:rtl w:val="0"/>
        </w:rPr>
        <w:t xml:space="preserve"> by making stable housing more accessible and allowing families to </w:t>
      </w:r>
      <w:r w:rsidDel="00000000" w:rsidR="00000000" w:rsidRPr="00000000">
        <w:rPr>
          <w:rFonts w:ascii="Times New Roman" w:cs="Times New Roman" w:eastAsia="Times New Roman" w:hAnsi="Times New Roman"/>
          <w:sz w:val="24"/>
          <w:szCs w:val="24"/>
          <w:rtl w:val="0"/>
        </w:rPr>
        <w:t xml:space="preserve">redirect resources to food and other basic needs. Additionally, </w:t>
      </w:r>
      <w:r w:rsidDel="00000000" w:rsidR="00000000" w:rsidRPr="00000000">
        <w:rPr>
          <w:rFonts w:ascii="Times New Roman" w:cs="Times New Roman" w:eastAsia="Times New Roman" w:hAnsi="Times New Roman"/>
          <w:sz w:val="24"/>
          <w:szCs w:val="24"/>
          <w:rtl w:val="0"/>
        </w:rPr>
        <w:t xml:space="preserve">investing in </w:t>
      </w:r>
      <w:r w:rsidDel="00000000" w:rsidR="00000000" w:rsidRPr="00000000">
        <w:rPr>
          <w:rFonts w:ascii="Times New Roman" w:cs="Times New Roman" w:eastAsia="Times New Roman" w:hAnsi="Times New Roman"/>
          <w:sz w:val="24"/>
          <w:szCs w:val="24"/>
          <w:rtl w:val="0"/>
        </w:rPr>
        <w:t xml:space="preserve">eviction </w:t>
      </w:r>
    </w:p>
    <w:p w:rsidR="00000000" w:rsidDel="00000000" w:rsidP="00000000" w:rsidRDefault="00000000" w:rsidRPr="00000000" w14:paraId="0000000D">
      <w:pPr>
        <w:spacing w:line="278.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8.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prevention</w:t>
      </w:r>
      <w:r w:rsidDel="00000000" w:rsidR="00000000" w:rsidRPr="00000000">
        <w:rPr>
          <w:rFonts w:ascii="Times New Roman" w:cs="Times New Roman" w:eastAsia="Times New Roman" w:hAnsi="Times New Roman"/>
          <w:sz w:val="24"/>
          <w:szCs w:val="24"/>
          <w:rtl w:val="0"/>
        </w:rPr>
        <w:t xml:space="preserve"> programs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critical</w:t>
      </w:r>
      <w:r w:rsidDel="00000000" w:rsidR="00000000" w:rsidRPr="00000000">
        <w:rPr>
          <w:rFonts w:ascii="Times New Roman" w:cs="Times New Roman" w:eastAsia="Times New Roman" w:hAnsi="Times New Roman"/>
          <w:sz w:val="24"/>
          <w:szCs w:val="24"/>
          <w:rtl w:val="0"/>
        </w:rPr>
        <w:t xml:space="preserve"> to stabilizing families at risk of losing their homes or being forced to relocate.</w:t>
      </w:r>
      <w:hyperlink r:id="rId24">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15–17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Stable housing serves as the foundation for economic security, making it essential to address housing instability to curb the rise of food insecurity. </w:t>
      </w:r>
      <w:r w:rsidDel="00000000" w:rsidR="00000000" w:rsidRPr="00000000">
        <w:rPr>
          <w:rFonts w:ascii="Times New Roman" w:cs="Times New Roman" w:eastAsia="Times New Roman" w:hAnsi="Times New Roman"/>
          <w:sz w:val="24"/>
          <w:szCs w:val="24"/>
          <w:rtl w:val="0"/>
        </w:rPr>
        <w:t xml:space="preserve">By supporting housing plans that leverage the City's assets and reduce regulatory barriers to increase New York's affordable housing supply across all neighborhoods, and by providing additional funding to initiatives that address the root causes of housing loss, policymakers can mitigate economic insecurity and its cascading effects. </w:t>
      </w:r>
      <w:r w:rsidDel="00000000" w:rsidR="00000000" w:rsidRPr="00000000">
        <w:rPr>
          <w:rtl w:val="0"/>
        </w:rPr>
      </w:r>
    </w:p>
    <w:p w:rsidR="00000000" w:rsidDel="00000000" w:rsidP="00000000" w:rsidRDefault="00000000" w:rsidRPr="00000000" w14:paraId="00000010">
      <w:pPr>
        <w:spacing w:line="278.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right w:color="auto" w:space="0" w:sz="0" w:val="none"/>
        </w:pBdr>
        <w:spacing w:line="278.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NYU Food Environment and Policy Research Coalition</w:t>
      </w:r>
    </w:p>
    <w:p w:rsidR="00000000" w:rsidDel="00000000" w:rsidP="00000000" w:rsidRDefault="00000000" w:rsidRPr="00000000" w14:paraId="00000012">
      <w:pPr>
        <w:pBdr>
          <w:top w:color="auto" w:space="0" w:sz="0" w:val="none"/>
          <w:left w:color="auto" w:space="0" w:sz="0" w:val="none"/>
          <w:right w:color="auto" w:space="0" w:sz="0" w:val="none"/>
        </w:pBdr>
        <w:spacing w:line="278.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NYU Food Environment and Policy Research Coalition is </w:t>
      </w:r>
      <w:r w:rsidDel="00000000" w:rsidR="00000000" w:rsidRPr="00000000">
        <w:rPr>
          <w:rFonts w:ascii="Times New Roman" w:cs="Times New Roman" w:eastAsia="Times New Roman" w:hAnsi="Times New Roman"/>
          <w:sz w:val="24"/>
          <w:szCs w:val="24"/>
          <w:rtl w:val="0"/>
        </w:rPr>
        <w:t xml:space="preserve">comprised</w:t>
      </w:r>
      <w:r w:rsidDel="00000000" w:rsidR="00000000" w:rsidRPr="00000000">
        <w:rPr>
          <w:rFonts w:ascii="Times New Roman" w:cs="Times New Roman" w:eastAsia="Times New Roman" w:hAnsi="Times New Roman"/>
          <w:sz w:val="24"/>
          <w:szCs w:val="24"/>
          <w:rtl w:val="0"/>
        </w:rPr>
        <w:t xml:space="preserve"> of faculty, staff members, and students who—through community-based and interdisciplinary research—aim to shape food environments that are health-driven, sustainable, and equitable. The Coalition conducts research that informs policy change on a range of topics to reduce disparities in nutrition and health.</w:t>
      </w:r>
    </w:p>
    <w:p w:rsidR="00000000" w:rsidDel="00000000" w:rsidP="00000000" w:rsidRDefault="00000000" w:rsidRPr="00000000" w14:paraId="00000013">
      <w:pPr>
        <w:pBdr>
          <w:top w:color="auto" w:space="0" w:sz="0" w:val="none"/>
          <w:left w:color="auto" w:space="0" w:sz="0" w:val="none"/>
          <w:right w:color="auto" w:space="0" w:sz="0" w:val="none"/>
        </w:pBdr>
        <w:spacing w:line="278.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right w:color="auto" w:space="0" w:sz="0" w:val="none"/>
        </w:pBdr>
        <w:spacing w:line="278.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keep up with the NYU Food Environment and Policy Research Coalition, please visit </w:t>
      </w:r>
      <w:hyperlink r:id="rId25">
        <w:r w:rsidDel="00000000" w:rsidR="00000000" w:rsidRPr="00000000">
          <w:rPr>
            <w:rFonts w:ascii="Times New Roman" w:cs="Times New Roman" w:eastAsia="Times New Roman" w:hAnsi="Times New Roman"/>
            <w:sz w:val="24"/>
            <w:szCs w:val="24"/>
            <w:rtl w:val="0"/>
          </w:rPr>
          <w:t xml:space="preserve">our </w:t>
        </w:r>
      </w:hyperlink>
      <w:hyperlink r:id="rId26">
        <w:r w:rsidDel="00000000" w:rsidR="00000000" w:rsidRPr="00000000">
          <w:rPr>
            <w:rFonts w:ascii="Times New Roman" w:cs="Times New Roman" w:eastAsia="Times New Roman" w:hAnsi="Times New Roman"/>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or follow us on </w:t>
      </w:r>
      <w:hyperlink r:id="rId27">
        <w:r w:rsidDel="00000000" w:rsidR="00000000" w:rsidRPr="00000000">
          <w:rPr>
            <w:rFonts w:ascii="Times New Roman" w:cs="Times New Roman" w:eastAsia="Times New Roman" w:hAnsi="Times New Roman"/>
            <w:sz w:val="24"/>
            <w:szCs w:val="24"/>
            <w:u w:val="single"/>
            <w:rtl w:val="0"/>
          </w:rPr>
          <w:t xml:space="preserve">LinkedIn</w:t>
        </w:r>
      </w:hyperlink>
      <w:r w:rsidDel="00000000" w:rsidR="00000000" w:rsidRPr="00000000">
        <w:rPr>
          <w:rFonts w:ascii="Times New Roman" w:cs="Times New Roman" w:eastAsia="Times New Roman" w:hAnsi="Times New Roman"/>
          <w:sz w:val="24"/>
          <w:szCs w:val="24"/>
          <w:rtl w:val="0"/>
        </w:rPr>
        <w:t xml:space="preserve"> and </w:t>
      </w:r>
      <w:hyperlink r:id="rId28">
        <w:r w:rsidDel="00000000" w:rsidR="00000000" w:rsidRPr="00000000">
          <w:rPr>
            <w:rFonts w:ascii="Times New Roman" w:cs="Times New Roman" w:eastAsia="Times New Roman" w:hAnsi="Times New Roman"/>
            <w:sz w:val="24"/>
            <w:szCs w:val="24"/>
            <w:u w:val="single"/>
            <w:rtl w:val="0"/>
          </w:rPr>
          <w:t xml:space="preserve">Instagram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Harvest</w:t>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Harvest is New York’s first and largest food rescue organization, collecting high-quality, nutritious food that would otherwise go to waste to help provide free food for millions of New Yorkers experiencing food insecurity. Since our founding in 1982, we have rescued more than one billion pounds of fresh, nutritious food and delivered it—free of charge—to hundreds of food pantries, soup kitchens, community partners, and our own Mobile Markets® across the five boroughs. This year, we will rescue and distribute more than 81 million pounds of nutritious food to our neighbors in need. By redirecting that food to families, we will also prevent the equivalent of more than 24 million kilograms of CO2 from entering the atmosphere. Named one of America's Top 100 Charities by Forbes, City Harvest also works alongside our community partners to build their capacity, expand nutrition education, and advocate for systems change through effective public policy. For more than 40 years, City Harvest has been there to feed our city—one day, one meal, one New Yorker at a time. To learn more, please visit cityharvest.org.</w:t>
      </w:r>
      <w:r w:rsidDel="00000000" w:rsidR="00000000" w:rsidRPr="00000000">
        <w:rPr>
          <w:rtl w:val="0"/>
        </w:rPr>
      </w:r>
    </w:p>
    <w:p w:rsidR="00000000" w:rsidDel="00000000" w:rsidP="00000000" w:rsidRDefault="00000000" w:rsidRPr="00000000" w14:paraId="00000018">
      <w:pPr>
        <w:spacing w:line="278.00000000000006" w:lineRule="auto"/>
        <w:rPr>
          <w:rFonts w:ascii="Times New Roman" w:cs="Times New Roman" w:eastAsia="Times New Roman" w:hAnsi="Times New Roman"/>
          <w:sz w:val="24"/>
          <w:szCs w:val="24"/>
          <w:shd w:fill="ffe599" w:val="clear"/>
        </w:rPr>
      </w:pPr>
      <w:r w:rsidDel="00000000" w:rsidR="00000000" w:rsidRPr="00000000">
        <w:rPr>
          <w:rtl w:val="0"/>
        </w:rPr>
      </w:r>
    </w:p>
    <w:p w:rsidR="00000000" w:rsidDel="00000000" w:rsidP="00000000" w:rsidRDefault="00000000" w:rsidRPr="00000000" w14:paraId="00000019">
      <w:pPr>
        <w:spacing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22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 </w:t>
        <w:tab/>
      </w:r>
      <w:hyperlink r:id="rId29">
        <w:r w:rsidDel="00000000" w:rsidR="00000000" w:rsidRPr="00000000">
          <w:rPr>
            <w:rFonts w:ascii="Times New Roman" w:cs="Times New Roman" w:eastAsia="Times New Roman" w:hAnsi="Times New Roman"/>
            <w:b w:val="0"/>
            <w:i w:val="0"/>
            <w:color w:val="000000"/>
            <w:sz w:val="22"/>
            <w:szCs w:val="22"/>
            <w:u w:val="none"/>
            <w:rtl w:val="0"/>
          </w:rPr>
          <w:t xml:space="preserve">New York. </w:t>
        </w:r>
      </w:hyperlink>
      <w:hyperlink r:id="rId30">
        <w:r w:rsidDel="00000000" w:rsidR="00000000" w:rsidRPr="00000000">
          <w:rPr>
            <w:rFonts w:ascii="Times New Roman" w:cs="Times New Roman" w:eastAsia="Times New Roman" w:hAnsi="Times New Roman"/>
            <w:b w:val="0"/>
            <w:i w:val="0"/>
            <w:color w:val="000000"/>
            <w:sz w:val="22"/>
            <w:szCs w:val="22"/>
            <w:u w:val="none"/>
            <w:rtl w:val="0"/>
          </w:rPr>
          <w:t xml:space="preserve">https://www.feedingamerica.org/.</w:t>
        </w:r>
      </w:hyperlink>
      <w:hyperlink r:id="rId31">
        <w:r w:rsidDel="00000000" w:rsidR="00000000" w:rsidRPr="00000000">
          <w:rPr>
            <w:rFonts w:ascii="Times New Roman" w:cs="Times New Roman" w:eastAsia="Times New Roman" w:hAnsi="Times New Roman"/>
            <w:b w:val="0"/>
            <w:i w:val="0"/>
            <w:color w:val="000000"/>
            <w:sz w:val="22"/>
            <w:szCs w:val="22"/>
            <w:u w:val="none"/>
            <w:rtl w:val="0"/>
          </w:rPr>
          <w:t xml:space="preserve"> Accessed December 4, 2024.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2. </w:t>
        <w:tab/>
      </w:r>
      <w:hyperlink r:id="rId32">
        <w:r w:rsidDel="00000000" w:rsidR="00000000" w:rsidRPr="00000000">
          <w:rPr>
            <w:rFonts w:ascii="Times New Roman" w:cs="Times New Roman" w:eastAsia="Times New Roman" w:hAnsi="Times New Roman"/>
            <w:b w:val="0"/>
            <w:i w:val="0"/>
            <w:color w:val="000000"/>
            <w:sz w:val="22"/>
            <w:szCs w:val="22"/>
            <w:u w:val="none"/>
            <w:rtl w:val="0"/>
          </w:rPr>
          <w:t xml:space="preserve">Hunger &amp; Poverty in the United States. </w:t>
        </w:r>
      </w:hyperlink>
      <w:hyperlink r:id="rId33">
        <w:r w:rsidDel="00000000" w:rsidR="00000000" w:rsidRPr="00000000">
          <w:rPr>
            <w:rFonts w:ascii="Times New Roman" w:cs="Times New Roman" w:eastAsia="Times New Roman" w:hAnsi="Times New Roman"/>
            <w:b w:val="0"/>
            <w:i w:val="0"/>
            <w:color w:val="000000"/>
            <w:sz w:val="22"/>
            <w:szCs w:val="22"/>
            <w:u w:val="none"/>
            <w:rtl w:val="0"/>
          </w:rPr>
          <w:t xml:space="preserve">https://map.feedingamerica.org/.</w:t>
        </w:r>
      </w:hyperlink>
      <w:hyperlink r:id="rId34">
        <w:r w:rsidDel="00000000" w:rsidR="00000000" w:rsidRPr="00000000">
          <w:rPr>
            <w:rFonts w:ascii="Times New Roman" w:cs="Times New Roman" w:eastAsia="Times New Roman" w:hAnsi="Times New Roman"/>
            <w:b w:val="0"/>
            <w:i w:val="0"/>
            <w:color w:val="000000"/>
            <w:sz w:val="22"/>
            <w:szCs w:val="22"/>
            <w:u w:val="none"/>
            <w:rtl w:val="0"/>
          </w:rPr>
          <w:t xml:space="preserve"> Accessed December 4, 2024.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3. </w:t>
        <w:tab/>
      </w:r>
      <w:hyperlink r:id="rId35">
        <w:r w:rsidDel="00000000" w:rsidR="00000000" w:rsidRPr="00000000">
          <w:rPr>
            <w:rFonts w:ascii="Times New Roman" w:cs="Times New Roman" w:eastAsia="Times New Roman" w:hAnsi="Times New Roman"/>
            <w:b w:val="0"/>
            <w:i w:val="0"/>
            <w:color w:val="000000"/>
            <w:sz w:val="22"/>
            <w:szCs w:val="22"/>
            <w:u w:val="none"/>
            <w:rtl w:val="0"/>
          </w:rPr>
          <w:t xml:space="preserve">Yardy N. Half of NYC households do not make enough money to cover basic needs: Report. United Way of New York City. </w:t>
        </w:r>
      </w:hyperlink>
      <w:hyperlink r:id="rId36">
        <w:r w:rsidDel="00000000" w:rsidR="00000000" w:rsidRPr="00000000">
          <w:rPr>
            <w:rFonts w:ascii="Times New Roman" w:cs="Times New Roman" w:eastAsia="Times New Roman" w:hAnsi="Times New Roman"/>
            <w:b w:val="0"/>
            <w:i w:val="0"/>
            <w:color w:val="000000"/>
            <w:sz w:val="22"/>
            <w:szCs w:val="22"/>
            <w:u w:val="none"/>
            <w:rtl w:val="0"/>
          </w:rPr>
          <w:t xml:space="preserve">https://unitedwaynyc.org/half-of-nyc-households-do-not-make-enough-money-to-cover-basic-needs-report/.</w:t>
        </w:r>
      </w:hyperlink>
      <w:hyperlink r:id="rId37">
        <w:r w:rsidDel="00000000" w:rsidR="00000000" w:rsidRPr="00000000">
          <w:rPr>
            <w:rFonts w:ascii="Times New Roman" w:cs="Times New Roman" w:eastAsia="Times New Roman" w:hAnsi="Times New Roman"/>
            <w:b w:val="0"/>
            <w:i w:val="0"/>
            <w:color w:val="000000"/>
            <w:sz w:val="22"/>
            <w:szCs w:val="22"/>
            <w:u w:val="none"/>
            <w:rtl w:val="0"/>
          </w:rPr>
          <w:t xml:space="preserve"> Published April 26, 2023. Accessed December 10, 2024.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4. </w:t>
        <w:tab/>
      </w:r>
      <w:hyperlink r:id="rId38">
        <w:r w:rsidDel="00000000" w:rsidR="00000000" w:rsidRPr="00000000">
          <w:rPr>
            <w:rFonts w:ascii="Times New Roman" w:cs="Times New Roman" w:eastAsia="Times New Roman" w:hAnsi="Times New Roman"/>
            <w:b w:val="0"/>
            <w:i w:val="0"/>
            <w:color w:val="000000"/>
            <w:sz w:val="22"/>
            <w:szCs w:val="22"/>
            <w:u w:val="none"/>
            <w:rtl w:val="0"/>
          </w:rPr>
          <w:t xml:space="preserve">Hermann A. Home Price-to-Income Ratio Reaches Record High. </w:t>
        </w:r>
      </w:hyperlink>
      <w:hyperlink r:id="rId39">
        <w:r w:rsidDel="00000000" w:rsidR="00000000" w:rsidRPr="00000000">
          <w:rPr>
            <w:rFonts w:ascii="Times New Roman" w:cs="Times New Roman" w:eastAsia="Times New Roman" w:hAnsi="Times New Roman"/>
            <w:b w:val="0"/>
            <w:i w:val="0"/>
            <w:color w:val="000000"/>
            <w:sz w:val="22"/>
            <w:szCs w:val="22"/>
            <w:u w:val="none"/>
            <w:rtl w:val="0"/>
          </w:rPr>
          <w:t xml:space="preserve">https://www.jchs.harvard.edu/blog/home-price-income-ratio-reaches-record-high-0.</w:t>
        </w:r>
      </w:hyperlink>
      <w:hyperlink r:id="rId40">
        <w:r w:rsidDel="00000000" w:rsidR="00000000" w:rsidRPr="00000000">
          <w:rPr>
            <w:rFonts w:ascii="Times New Roman" w:cs="Times New Roman" w:eastAsia="Times New Roman" w:hAnsi="Times New Roman"/>
            <w:b w:val="0"/>
            <w:i w:val="0"/>
            <w:color w:val="000000"/>
            <w:sz w:val="22"/>
            <w:szCs w:val="22"/>
            <w:u w:val="none"/>
            <w:rtl w:val="0"/>
          </w:rPr>
          <w:t xml:space="preserve"> Accessed December 4, 2024.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5. </w:t>
        <w:tab/>
      </w:r>
      <w:hyperlink r:id="rId41">
        <w:r w:rsidDel="00000000" w:rsidR="00000000" w:rsidRPr="00000000">
          <w:rPr>
            <w:rFonts w:ascii="Times New Roman" w:cs="Times New Roman" w:eastAsia="Times New Roman" w:hAnsi="Times New Roman"/>
            <w:b w:val="0"/>
            <w:i w:val="0"/>
            <w:color w:val="000000"/>
            <w:sz w:val="22"/>
            <w:szCs w:val="22"/>
            <w:u w:val="none"/>
            <w:rtl w:val="0"/>
          </w:rPr>
          <w:t xml:space="preserve">Whitney P. More Than 42 Million US Households Were Cost Burdened in 2022. </w:t>
        </w:r>
      </w:hyperlink>
      <w:hyperlink r:id="rId42">
        <w:r w:rsidDel="00000000" w:rsidR="00000000" w:rsidRPr="00000000">
          <w:rPr>
            <w:rFonts w:ascii="Times New Roman" w:cs="Times New Roman" w:eastAsia="Times New Roman" w:hAnsi="Times New Roman"/>
            <w:b w:val="0"/>
            <w:i w:val="0"/>
            <w:color w:val="000000"/>
            <w:sz w:val="22"/>
            <w:szCs w:val="22"/>
            <w:u w:val="none"/>
            <w:rtl w:val="0"/>
          </w:rPr>
          <w:t xml:space="preserve">https://www.jchs.harvard.edu/blog/more-42-million-us-households-were-cost-burdened-2022.</w:t>
        </w:r>
      </w:hyperlink>
      <w:hyperlink r:id="rId43">
        <w:r w:rsidDel="00000000" w:rsidR="00000000" w:rsidRPr="00000000">
          <w:rPr>
            <w:rFonts w:ascii="Times New Roman" w:cs="Times New Roman" w:eastAsia="Times New Roman" w:hAnsi="Times New Roman"/>
            <w:b w:val="0"/>
            <w:i w:val="0"/>
            <w:color w:val="000000"/>
            <w:sz w:val="22"/>
            <w:szCs w:val="22"/>
            <w:u w:val="none"/>
            <w:rtl w:val="0"/>
          </w:rPr>
          <w:t xml:space="preserve"> Accessed December 4, 2024.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6. </w:t>
        <w:tab/>
      </w:r>
      <w:hyperlink r:id="rId44">
        <w:r w:rsidDel="00000000" w:rsidR="00000000" w:rsidRPr="00000000">
          <w:rPr>
            <w:rFonts w:ascii="Times New Roman" w:cs="Times New Roman" w:eastAsia="Times New Roman" w:hAnsi="Times New Roman"/>
            <w:b w:val="0"/>
            <w:i w:val="0"/>
            <w:color w:val="000000"/>
            <w:sz w:val="22"/>
            <w:szCs w:val="22"/>
            <w:u w:val="none"/>
            <w:rtl w:val="0"/>
          </w:rPr>
          <w:t xml:space="preserve">King C. Food insecurity and housing instability in vulnerable families. </w:t>
        </w:r>
      </w:hyperlink>
      <w:hyperlink r:id="rId45">
        <w:r w:rsidDel="00000000" w:rsidR="00000000" w:rsidRPr="00000000">
          <w:rPr>
            <w:rFonts w:ascii="Times New Roman" w:cs="Times New Roman" w:eastAsia="Times New Roman" w:hAnsi="Times New Roman"/>
            <w:b w:val="0"/>
            <w:i w:val="1"/>
            <w:color w:val="000000"/>
            <w:sz w:val="22"/>
            <w:szCs w:val="22"/>
            <w:u w:val="none"/>
            <w:rtl w:val="0"/>
          </w:rPr>
          <w:t xml:space="preserve">Review of Economics of the Household</w:t>
        </w:r>
      </w:hyperlink>
      <w:hyperlink r:id="rId46">
        <w:r w:rsidDel="00000000" w:rsidR="00000000" w:rsidRPr="00000000">
          <w:rPr>
            <w:rFonts w:ascii="Times New Roman" w:cs="Times New Roman" w:eastAsia="Times New Roman" w:hAnsi="Times New Roman"/>
            <w:b w:val="0"/>
            <w:i w:val="0"/>
            <w:color w:val="000000"/>
            <w:sz w:val="22"/>
            <w:szCs w:val="22"/>
            <w:u w:val="none"/>
            <w:rtl w:val="0"/>
          </w:rPr>
          <w:t xml:space="preserve">. 2018;16(2):255-273.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7. </w:t>
        <w:tab/>
      </w:r>
      <w:hyperlink r:id="rId47">
        <w:r w:rsidDel="00000000" w:rsidR="00000000" w:rsidRPr="00000000">
          <w:rPr>
            <w:rFonts w:ascii="Times New Roman" w:cs="Times New Roman" w:eastAsia="Times New Roman" w:hAnsi="Times New Roman"/>
            <w:b w:val="0"/>
            <w:i w:val="0"/>
            <w:color w:val="000000"/>
            <w:sz w:val="22"/>
            <w:szCs w:val="22"/>
            <w:u w:val="none"/>
            <w:rtl w:val="0"/>
          </w:rPr>
          <w:t xml:space="preserve">Azhar S, Ross AM, Acharya A, et al. “The little I receive is not enough’’: A qualitative study of food insecurity in the South Bronx. </w:t>
        </w:r>
      </w:hyperlink>
      <w:hyperlink r:id="rId48">
        <w:r w:rsidDel="00000000" w:rsidR="00000000" w:rsidRPr="00000000">
          <w:rPr>
            <w:rFonts w:ascii="Times New Roman" w:cs="Times New Roman" w:eastAsia="Times New Roman" w:hAnsi="Times New Roman"/>
            <w:b w:val="0"/>
            <w:i w:val="1"/>
            <w:color w:val="000000"/>
            <w:sz w:val="22"/>
            <w:szCs w:val="22"/>
            <w:u w:val="none"/>
            <w:rtl w:val="0"/>
          </w:rPr>
          <w:t xml:space="preserve">Food, Culture &amp; Society</w:t>
        </w:r>
      </w:hyperlink>
      <w:hyperlink r:id="rId49">
        <w:r w:rsidDel="00000000" w:rsidR="00000000" w:rsidRPr="00000000">
          <w:rPr>
            <w:rFonts w:ascii="Times New Roman" w:cs="Times New Roman" w:eastAsia="Times New Roman" w:hAnsi="Times New Roman"/>
            <w:b w:val="0"/>
            <w:i w:val="0"/>
            <w:color w:val="000000"/>
            <w:sz w:val="22"/>
            <w:szCs w:val="22"/>
            <w:u w:val="none"/>
            <w:rtl w:val="0"/>
          </w:rPr>
          <w:t xml:space="preserve">. October 2024. doi:</w:t>
        </w:r>
      </w:hyperlink>
      <w:hyperlink r:id="rId50">
        <w:r w:rsidDel="00000000" w:rsidR="00000000" w:rsidRPr="00000000">
          <w:rPr>
            <w:rFonts w:ascii="Times New Roman" w:cs="Times New Roman" w:eastAsia="Times New Roman" w:hAnsi="Times New Roman"/>
            <w:b w:val="0"/>
            <w:i w:val="0"/>
            <w:color w:val="000000"/>
            <w:sz w:val="22"/>
            <w:szCs w:val="22"/>
            <w:u w:val="none"/>
            <w:rtl w:val="0"/>
          </w:rPr>
          <w:t xml:space="preserve">10.1080/15528014.2024.2406081</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8. </w:t>
        <w:tab/>
      </w:r>
      <w:hyperlink r:id="rId51">
        <w:r w:rsidDel="00000000" w:rsidR="00000000" w:rsidRPr="00000000">
          <w:rPr>
            <w:rFonts w:ascii="Times New Roman" w:cs="Times New Roman" w:eastAsia="Times New Roman" w:hAnsi="Times New Roman"/>
            <w:b w:val="0"/>
            <w:i w:val="0"/>
            <w:color w:val="000000"/>
            <w:sz w:val="22"/>
            <w:szCs w:val="22"/>
            <w:u w:val="none"/>
            <w:rtl w:val="0"/>
          </w:rPr>
          <w:t xml:space="preserve">Nieves C, Dannefer R, Zamula A, Sacks R, Ballesteros GD, Zhao F. “Come with us for a week, for a month, and see how much food lasts for you:” A Qualitative Exploration of Food Insecurity in East Harlem, New York City. </w:t>
        </w:r>
      </w:hyperlink>
      <w:hyperlink r:id="rId52">
        <w:r w:rsidDel="00000000" w:rsidR="00000000" w:rsidRPr="00000000">
          <w:rPr>
            <w:rFonts w:ascii="Times New Roman" w:cs="Times New Roman" w:eastAsia="Times New Roman" w:hAnsi="Times New Roman"/>
            <w:b w:val="0"/>
            <w:i w:val="1"/>
            <w:color w:val="000000"/>
            <w:sz w:val="22"/>
            <w:szCs w:val="22"/>
            <w:u w:val="none"/>
            <w:rtl w:val="0"/>
          </w:rPr>
          <w:t xml:space="preserve">Journal of the Academy of Nutrition and Dietetics</w:t>
        </w:r>
      </w:hyperlink>
      <w:hyperlink r:id="rId53">
        <w:r w:rsidDel="00000000" w:rsidR="00000000" w:rsidRPr="00000000">
          <w:rPr>
            <w:rFonts w:ascii="Times New Roman" w:cs="Times New Roman" w:eastAsia="Times New Roman" w:hAnsi="Times New Roman"/>
            <w:b w:val="0"/>
            <w:i w:val="0"/>
            <w:color w:val="000000"/>
            <w:sz w:val="22"/>
            <w:szCs w:val="22"/>
            <w:u w:val="none"/>
            <w:rtl w:val="0"/>
          </w:rPr>
          <w:t xml:space="preserve">. 2022;122(3). doi:</w:t>
        </w:r>
      </w:hyperlink>
      <w:hyperlink r:id="rId54">
        <w:r w:rsidDel="00000000" w:rsidR="00000000" w:rsidRPr="00000000">
          <w:rPr>
            <w:rFonts w:ascii="Times New Roman" w:cs="Times New Roman" w:eastAsia="Times New Roman" w:hAnsi="Times New Roman"/>
            <w:b w:val="0"/>
            <w:i w:val="0"/>
            <w:color w:val="000000"/>
            <w:sz w:val="22"/>
            <w:szCs w:val="22"/>
            <w:u w:val="none"/>
            <w:rtl w:val="0"/>
          </w:rPr>
          <w:t xml:space="preserve">10.1016/j.jand.2021.08.100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9. </w:t>
        <w:tab/>
      </w:r>
      <w:hyperlink r:id="rId55">
        <w:r w:rsidDel="00000000" w:rsidR="00000000" w:rsidRPr="00000000">
          <w:rPr>
            <w:rFonts w:ascii="Times New Roman" w:cs="Times New Roman" w:eastAsia="Times New Roman" w:hAnsi="Times New Roman"/>
            <w:b w:val="0"/>
            <w:i w:val="0"/>
            <w:color w:val="000000"/>
            <w:sz w:val="22"/>
            <w:szCs w:val="22"/>
            <w:u w:val="none"/>
            <w:rtl w:val="0"/>
          </w:rPr>
          <w:t xml:space="preserve">Lee CY, Zhao X, Reesor-Oyer L, Cepni AB, Hernandez DC. Bidirectional Relationship Between Food Insecurity and Housing Instability. </w:t>
        </w:r>
      </w:hyperlink>
      <w:hyperlink r:id="rId56">
        <w:r w:rsidDel="00000000" w:rsidR="00000000" w:rsidRPr="00000000">
          <w:rPr>
            <w:rFonts w:ascii="Times New Roman" w:cs="Times New Roman" w:eastAsia="Times New Roman" w:hAnsi="Times New Roman"/>
            <w:b w:val="0"/>
            <w:i w:val="1"/>
            <w:color w:val="000000"/>
            <w:sz w:val="22"/>
            <w:szCs w:val="22"/>
            <w:u w:val="none"/>
            <w:rtl w:val="0"/>
          </w:rPr>
          <w:t xml:space="preserve">Journal of the Academy of Nutrition and Dietetics</w:t>
        </w:r>
      </w:hyperlink>
      <w:hyperlink r:id="rId57">
        <w:r w:rsidDel="00000000" w:rsidR="00000000" w:rsidRPr="00000000">
          <w:rPr>
            <w:rFonts w:ascii="Times New Roman" w:cs="Times New Roman" w:eastAsia="Times New Roman" w:hAnsi="Times New Roman"/>
            <w:b w:val="0"/>
            <w:i w:val="0"/>
            <w:color w:val="000000"/>
            <w:sz w:val="22"/>
            <w:szCs w:val="22"/>
            <w:u w:val="none"/>
            <w:rtl w:val="0"/>
          </w:rPr>
          <w:t xml:space="preserve">. 2021;121(1). doi:</w:t>
        </w:r>
      </w:hyperlink>
      <w:hyperlink r:id="rId58">
        <w:r w:rsidDel="00000000" w:rsidR="00000000" w:rsidRPr="00000000">
          <w:rPr>
            <w:rFonts w:ascii="Times New Roman" w:cs="Times New Roman" w:eastAsia="Times New Roman" w:hAnsi="Times New Roman"/>
            <w:b w:val="0"/>
            <w:i w:val="0"/>
            <w:color w:val="000000"/>
            <w:sz w:val="22"/>
            <w:szCs w:val="22"/>
            <w:u w:val="none"/>
            <w:rtl w:val="0"/>
          </w:rPr>
          <w:t xml:space="preserve">10.1016/j.jand.2020.08.081</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10. </w:t>
        <w:tab/>
      </w:r>
      <w:hyperlink r:id="rId59">
        <w:r w:rsidDel="00000000" w:rsidR="00000000" w:rsidRPr="00000000">
          <w:rPr>
            <w:rFonts w:ascii="Times New Roman" w:cs="Times New Roman" w:eastAsia="Times New Roman" w:hAnsi="Times New Roman"/>
            <w:b w:val="0"/>
            <w:i w:val="0"/>
            <w:color w:val="000000"/>
            <w:sz w:val="22"/>
            <w:szCs w:val="22"/>
            <w:u w:val="none"/>
            <w:rtl w:val="0"/>
          </w:rPr>
          <w:t xml:space="preserve">Chang Y, Chatterjee S. Housing Instability, Food Insecurity, and Barriers to Healthy Eating. </w:t>
        </w:r>
      </w:hyperlink>
      <w:hyperlink r:id="rId60">
        <w:r w:rsidDel="00000000" w:rsidR="00000000" w:rsidRPr="00000000">
          <w:rPr>
            <w:rFonts w:ascii="Times New Roman" w:cs="Times New Roman" w:eastAsia="Times New Roman" w:hAnsi="Times New Roman"/>
            <w:b w:val="0"/>
            <w:i w:val="1"/>
            <w:color w:val="000000"/>
            <w:sz w:val="22"/>
            <w:szCs w:val="22"/>
            <w:u w:val="none"/>
            <w:rtl w:val="0"/>
          </w:rPr>
          <w:t xml:space="preserve">Family and Consumer Sciences Research Journal</w:t>
        </w:r>
      </w:hyperlink>
      <w:hyperlink r:id="rId61">
        <w:r w:rsidDel="00000000" w:rsidR="00000000" w:rsidRPr="00000000">
          <w:rPr>
            <w:rFonts w:ascii="Times New Roman" w:cs="Times New Roman" w:eastAsia="Times New Roman" w:hAnsi="Times New Roman"/>
            <w:b w:val="0"/>
            <w:i w:val="0"/>
            <w:color w:val="000000"/>
            <w:sz w:val="22"/>
            <w:szCs w:val="22"/>
            <w:u w:val="none"/>
            <w:rtl w:val="0"/>
          </w:rPr>
          <w:t xml:space="preserve">. 2022;51(1):51-64.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11. </w:t>
        <w:tab/>
      </w:r>
      <w:hyperlink r:id="rId62">
        <w:r w:rsidDel="00000000" w:rsidR="00000000" w:rsidRPr="00000000">
          <w:rPr>
            <w:rFonts w:ascii="Times New Roman" w:cs="Times New Roman" w:eastAsia="Times New Roman" w:hAnsi="Times New Roman"/>
            <w:b w:val="0"/>
            <w:i w:val="0"/>
            <w:color w:val="000000"/>
            <w:sz w:val="22"/>
            <w:szCs w:val="22"/>
            <w:u w:val="none"/>
            <w:rtl w:val="0"/>
          </w:rPr>
          <w:t xml:space="preserve">Denary W, Fenelon A, Whittaker S, Esserman D, Lipska K, Keene DE. Rental Assistance Improves Food Security and Nutrition: An Analysis of National Survey Data. </w:t>
        </w:r>
      </w:hyperlink>
      <w:hyperlink r:id="rId63">
        <w:r w:rsidDel="00000000" w:rsidR="00000000" w:rsidRPr="00000000">
          <w:rPr>
            <w:rFonts w:ascii="Times New Roman" w:cs="Times New Roman" w:eastAsia="Times New Roman" w:hAnsi="Times New Roman"/>
            <w:b w:val="0"/>
            <w:i w:val="1"/>
            <w:color w:val="000000"/>
            <w:sz w:val="22"/>
            <w:szCs w:val="22"/>
            <w:u w:val="none"/>
            <w:rtl w:val="0"/>
          </w:rPr>
          <w:t xml:space="preserve">Preventive medicine</w:t>
        </w:r>
      </w:hyperlink>
      <w:hyperlink r:id="rId64">
        <w:r w:rsidDel="00000000" w:rsidR="00000000" w:rsidRPr="00000000">
          <w:rPr>
            <w:rFonts w:ascii="Times New Roman" w:cs="Times New Roman" w:eastAsia="Times New Roman" w:hAnsi="Times New Roman"/>
            <w:b w:val="0"/>
            <w:i w:val="0"/>
            <w:color w:val="000000"/>
            <w:sz w:val="22"/>
            <w:szCs w:val="22"/>
            <w:u w:val="none"/>
            <w:rtl w:val="0"/>
          </w:rPr>
          <w:t xml:space="preserve">. 2023;169:107453.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12. </w:t>
        <w:tab/>
      </w:r>
      <w:hyperlink r:id="rId65">
        <w:r w:rsidDel="00000000" w:rsidR="00000000" w:rsidRPr="00000000">
          <w:rPr>
            <w:rFonts w:ascii="Times New Roman" w:cs="Times New Roman" w:eastAsia="Times New Roman" w:hAnsi="Times New Roman"/>
            <w:b w:val="0"/>
            <w:i w:val="0"/>
            <w:color w:val="000000"/>
            <w:sz w:val="22"/>
            <w:szCs w:val="22"/>
            <w:u w:val="none"/>
            <w:rtl w:val="0"/>
          </w:rPr>
          <w:t xml:space="preserve">Housing creates health. Environment &amp; Health Data Portal. </w:t>
        </w:r>
      </w:hyperlink>
      <w:hyperlink r:id="rId66">
        <w:r w:rsidDel="00000000" w:rsidR="00000000" w:rsidRPr="00000000">
          <w:rPr>
            <w:rFonts w:ascii="Times New Roman" w:cs="Times New Roman" w:eastAsia="Times New Roman" w:hAnsi="Times New Roman"/>
            <w:b w:val="0"/>
            <w:i w:val="0"/>
            <w:color w:val="000000"/>
            <w:sz w:val="22"/>
            <w:szCs w:val="22"/>
            <w:u w:val="none"/>
            <w:rtl w:val="0"/>
          </w:rPr>
          <w:t xml:space="preserve">https://a816-dohbesp.nyc.gov/IndicatorPublic/data-stories/housing-creates-health/#:~:text=Housing%20affordability%3A%20lack%20of%20affordable%20housing%20forces%20difficult%20choices%20between%20essentials.&amp;text=Across%20New%20York%2C%20half%20of,for%20food%20and%20other%20essentials.</w:t>
        </w:r>
      </w:hyperlink>
      <w:hyperlink r:id="rId67">
        <w:r w:rsidDel="00000000" w:rsidR="00000000" w:rsidRPr="00000000">
          <w:rPr>
            <w:rFonts w:ascii="Times New Roman" w:cs="Times New Roman" w:eastAsia="Times New Roman" w:hAnsi="Times New Roman"/>
            <w:b w:val="0"/>
            <w:i w:val="0"/>
            <w:color w:val="000000"/>
            <w:sz w:val="22"/>
            <w:szCs w:val="22"/>
            <w:u w:val="none"/>
            <w:rtl w:val="0"/>
          </w:rPr>
          <w:t xml:space="preserve"> Accessed December 4, 2024.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13. </w:t>
        <w:tab/>
      </w:r>
      <w:hyperlink r:id="rId68">
        <w:r w:rsidDel="00000000" w:rsidR="00000000" w:rsidRPr="00000000">
          <w:rPr>
            <w:rFonts w:ascii="Times New Roman" w:cs="Times New Roman" w:eastAsia="Times New Roman" w:hAnsi="Times New Roman"/>
            <w:b w:val="0"/>
            <w:i w:val="0"/>
            <w:color w:val="000000"/>
            <w:sz w:val="22"/>
            <w:szCs w:val="22"/>
            <w:u w:val="none"/>
            <w:rtl w:val="0"/>
          </w:rPr>
          <w:t xml:space="preserve">Bottino CJ, Fleegler EW, Cox JE, Rhodes ET. The Relationship Between Housing Instability and Poor Diet Quality Among Urban Families. </w:t>
        </w:r>
      </w:hyperlink>
      <w:hyperlink r:id="rId69">
        <w:r w:rsidDel="00000000" w:rsidR="00000000" w:rsidRPr="00000000">
          <w:rPr>
            <w:rFonts w:ascii="Times New Roman" w:cs="Times New Roman" w:eastAsia="Times New Roman" w:hAnsi="Times New Roman"/>
            <w:b w:val="0"/>
            <w:i w:val="1"/>
            <w:color w:val="000000"/>
            <w:sz w:val="22"/>
            <w:szCs w:val="22"/>
            <w:u w:val="none"/>
            <w:rtl w:val="0"/>
          </w:rPr>
          <w:t xml:space="preserve">Academic pediatrics</w:t>
        </w:r>
      </w:hyperlink>
      <w:hyperlink r:id="rId70">
        <w:r w:rsidDel="00000000" w:rsidR="00000000" w:rsidRPr="00000000">
          <w:rPr>
            <w:rFonts w:ascii="Times New Roman" w:cs="Times New Roman" w:eastAsia="Times New Roman" w:hAnsi="Times New Roman"/>
            <w:b w:val="0"/>
            <w:i w:val="0"/>
            <w:color w:val="000000"/>
            <w:sz w:val="22"/>
            <w:szCs w:val="22"/>
            <w:u w:val="none"/>
            <w:rtl w:val="0"/>
          </w:rPr>
          <w:t xml:space="preserve">. 2019;19(8). doi:</w:t>
        </w:r>
      </w:hyperlink>
      <w:hyperlink r:id="rId71">
        <w:r w:rsidDel="00000000" w:rsidR="00000000" w:rsidRPr="00000000">
          <w:rPr>
            <w:rFonts w:ascii="Times New Roman" w:cs="Times New Roman" w:eastAsia="Times New Roman" w:hAnsi="Times New Roman"/>
            <w:b w:val="0"/>
            <w:i w:val="0"/>
            <w:color w:val="000000"/>
            <w:sz w:val="22"/>
            <w:szCs w:val="22"/>
            <w:u w:val="none"/>
            <w:rtl w:val="0"/>
          </w:rPr>
          <w:t xml:space="preserve">10.1016/j.acap.2019.04.004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14. </w:t>
        <w:tab/>
      </w:r>
      <w:hyperlink r:id="rId72">
        <w:r w:rsidDel="00000000" w:rsidR="00000000" w:rsidRPr="00000000">
          <w:rPr>
            <w:rFonts w:ascii="Times New Roman" w:cs="Times New Roman" w:eastAsia="Times New Roman" w:hAnsi="Times New Roman"/>
            <w:b w:val="0"/>
            <w:i w:val="0"/>
            <w:color w:val="000000"/>
            <w:sz w:val="22"/>
            <w:szCs w:val="22"/>
            <w:u w:val="none"/>
            <w:rtl w:val="0"/>
          </w:rPr>
          <w:t xml:space="preserve">Mayor Adams and Administration Deliver Safer, More Affordable New York City in 2024. The official website of the City of New York. </w:t>
        </w:r>
      </w:hyperlink>
      <w:hyperlink r:id="rId73">
        <w:r w:rsidDel="00000000" w:rsidR="00000000" w:rsidRPr="00000000">
          <w:rPr>
            <w:rFonts w:ascii="Times New Roman" w:cs="Times New Roman" w:eastAsia="Times New Roman" w:hAnsi="Times New Roman"/>
            <w:b w:val="0"/>
            <w:i w:val="0"/>
            <w:color w:val="000000"/>
            <w:sz w:val="22"/>
            <w:szCs w:val="22"/>
            <w:u w:val="none"/>
            <w:rtl w:val="0"/>
          </w:rPr>
          <w:t xml:space="preserve">http://www.nyc.gov/office-of-the-mayor/news/940-24/mayor-adams-administration-deliver-safer-more-affordable-new-york-city-2024.</w:t>
        </w:r>
      </w:hyperlink>
      <w:hyperlink r:id="rId74">
        <w:r w:rsidDel="00000000" w:rsidR="00000000" w:rsidRPr="00000000">
          <w:rPr>
            <w:rFonts w:ascii="Times New Roman" w:cs="Times New Roman" w:eastAsia="Times New Roman" w:hAnsi="Times New Roman"/>
            <w:b w:val="0"/>
            <w:i w:val="0"/>
            <w:color w:val="000000"/>
            <w:sz w:val="22"/>
            <w:szCs w:val="22"/>
            <w:u w:val="none"/>
            <w:rtl w:val="0"/>
          </w:rPr>
          <w:t xml:space="preserve"> Published December 20, 2024. Accessed December 20, 2024.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15. </w:t>
        <w:tab/>
      </w:r>
      <w:hyperlink r:id="rId75">
        <w:r w:rsidDel="00000000" w:rsidR="00000000" w:rsidRPr="00000000">
          <w:rPr>
            <w:rFonts w:ascii="Times New Roman" w:cs="Times New Roman" w:eastAsia="Times New Roman" w:hAnsi="Times New Roman"/>
            <w:b w:val="0"/>
            <w:i w:val="0"/>
            <w:color w:val="000000"/>
            <w:sz w:val="22"/>
            <w:szCs w:val="22"/>
            <w:u w:val="none"/>
            <w:rtl w:val="0"/>
          </w:rPr>
          <w:t xml:space="preserve">Treskon M, Greene S, Fiol O, Junod AN. Eviction Prevention and Diversion Programs: Early Lessons from the Pandemic. April 2021. </w:t>
        </w:r>
      </w:hyperlink>
      <w:hyperlink r:id="rId76">
        <w:r w:rsidDel="00000000" w:rsidR="00000000" w:rsidRPr="00000000">
          <w:rPr>
            <w:rFonts w:ascii="Times New Roman" w:cs="Times New Roman" w:eastAsia="Times New Roman" w:hAnsi="Times New Roman"/>
            <w:b w:val="0"/>
            <w:i w:val="0"/>
            <w:color w:val="000000"/>
            <w:sz w:val="22"/>
            <w:szCs w:val="22"/>
            <w:u w:val="none"/>
            <w:rtl w:val="0"/>
          </w:rPr>
          <w:t xml:space="preserve">https://www.urban.org/sites/default/files/publication/104148/eviction-prevention-and-diversion-programs-early-lessons-from-the-pandemic_0_0.pdf.</w:t>
        </w:r>
      </w:hyperlink>
      <w:hyperlink r:id="rId77">
        <w:r w:rsidDel="00000000" w:rsidR="00000000" w:rsidRPr="00000000">
          <w:rPr>
            <w:rFonts w:ascii="Times New Roman" w:cs="Times New Roman" w:eastAsia="Times New Roman" w:hAnsi="Times New Roman"/>
            <w:b w:val="0"/>
            <w:i w:val="0"/>
            <w:color w:val="000000"/>
            <w:sz w:val="22"/>
            <w:szCs w:val="22"/>
            <w:u w:val="none"/>
            <w:rtl w:val="0"/>
          </w:rPr>
          <w:t xml:space="preserve"> Accessed January 8, 2025.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16. </w:t>
        <w:tab/>
      </w:r>
      <w:hyperlink r:id="rId78">
        <w:r w:rsidDel="00000000" w:rsidR="00000000" w:rsidRPr="00000000">
          <w:rPr>
            <w:rFonts w:ascii="Times New Roman" w:cs="Times New Roman" w:eastAsia="Times New Roman" w:hAnsi="Times New Roman"/>
            <w:b w:val="0"/>
            <w:i w:val="0"/>
            <w:color w:val="000000"/>
            <w:sz w:val="22"/>
            <w:szCs w:val="22"/>
            <w:u w:val="none"/>
            <w:rtl w:val="0"/>
          </w:rPr>
          <w:t xml:space="preserve">CommonBond Communities. Why Eviction Prevention Is Worth the Social Return on Investment (SROI). CommonBond Communities. </w:t>
        </w:r>
      </w:hyperlink>
      <w:hyperlink r:id="rId79">
        <w:r w:rsidDel="00000000" w:rsidR="00000000" w:rsidRPr="00000000">
          <w:rPr>
            <w:rFonts w:ascii="Times New Roman" w:cs="Times New Roman" w:eastAsia="Times New Roman" w:hAnsi="Times New Roman"/>
            <w:b w:val="0"/>
            <w:i w:val="0"/>
            <w:color w:val="000000"/>
            <w:sz w:val="22"/>
            <w:szCs w:val="22"/>
            <w:u w:val="none"/>
            <w:rtl w:val="0"/>
          </w:rPr>
          <w:t xml:space="preserve">https://commonbond.org/eviction-prevention-social-return-on-investment/.</w:t>
        </w:r>
      </w:hyperlink>
      <w:hyperlink r:id="rId80">
        <w:r w:rsidDel="00000000" w:rsidR="00000000" w:rsidRPr="00000000">
          <w:rPr>
            <w:rFonts w:ascii="Times New Roman" w:cs="Times New Roman" w:eastAsia="Times New Roman" w:hAnsi="Times New Roman"/>
            <w:b w:val="0"/>
            <w:i w:val="0"/>
            <w:color w:val="000000"/>
            <w:sz w:val="22"/>
            <w:szCs w:val="22"/>
            <w:u w:val="none"/>
            <w:rtl w:val="0"/>
          </w:rPr>
          <w:t xml:space="preserve"> Published January 12, 2021. Accessed January 8, 2025.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17. </w:t>
        <w:tab/>
      </w:r>
      <w:hyperlink r:id="rId81">
        <w:r w:rsidDel="00000000" w:rsidR="00000000" w:rsidRPr="00000000">
          <w:rPr>
            <w:rFonts w:ascii="Times New Roman" w:cs="Times New Roman" w:eastAsia="Times New Roman" w:hAnsi="Times New Roman"/>
            <w:b w:val="0"/>
            <w:i w:val="0"/>
            <w:color w:val="000000"/>
            <w:sz w:val="22"/>
            <w:szCs w:val="22"/>
            <w:u w:val="none"/>
            <w:rtl w:val="0"/>
          </w:rPr>
          <w:t xml:space="preserve">Collinson R, Humphries JE, Mader N, Reed D, Tannenbaum D, van Dijk W. Eviction and Poverty in American Cities. </w:t>
        </w:r>
      </w:hyperlink>
      <w:hyperlink r:id="rId82">
        <w:r w:rsidDel="00000000" w:rsidR="00000000" w:rsidRPr="00000000">
          <w:rPr>
            <w:rFonts w:ascii="Times New Roman" w:cs="Times New Roman" w:eastAsia="Times New Roman" w:hAnsi="Times New Roman"/>
            <w:b w:val="0"/>
            <w:i w:val="1"/>
            <w:color w:val="000000"/>
            <w:sz w:val="22"/>
            <w:szCs w:val="22"/>
            <w:u w:val="none"/>
            <w:rtl w:val="0"/>
          </w:rPr>
          <w:t xml:space="preserve">Q J Econ</w:t>
        </w:r>
      </w:hyperlink>
      <w:hyperlink r:id="rId83">
        <w:r w:rsidDel="00000000" w:rsidR="00000000" w:rsidRPr="00000000">
          <w:rPr>
            <w:rFonts w:ascii="Times New Roman" w:cs="Times New Roman" w:eastAsia="Times New Roman" w:hAnsi="Times New Roman"/>
            <w:b w:val="0"/>
            <w:i w:val="0"/>
            <w:color w:val="000000"/>
            <w:sz w:val="22"/>
            <w:szCs w:val="22"/>
            <w:u w:val="none"/>
            <w:rtl w:val="0"/>
          </w:rPr>
          <w:t xml:space="preserve">. 2024;139(1):57-120.</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pPr>
      <w:r w:rsidDel="00000000" w:rsidR="00000000" w:rsidRPr="00000000">
        <w:rPr>
          <w:rtl w:val="0"/>
        </w:rPr>
      </w:r>
    </w:p>
    <w:sectPr>
      <w:headerReference r:id="rId84" w:type="default"/>
      <w:footerReference r:id="rId8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5943600" cy="2159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215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rFonts w:ascii="Times New Roman" w:cs="Times New Roman" w:eastAsia="Times New Roman" w:hAnsi="Times New Roman"/>
        <w:b w:val="1"/>
        <w:color w:val="a02b93"/>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-133349</wp:posOffset>
          </wp:positionV>
          <wp:extent cx="828675" cy="414338"/>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28675" cy="4143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-76199</wp:posOffset>
          </wp:positionV>
          <wp:extent cx="827342" cy="481013"/>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27342" cy="481013"/>
                  </a:xfrm>
                  <a:prstGeom prst="rect"/>
                  <a:ln/>
                </pic:spPr>
              </pic:pic>
            </a:graphicData>
          </a:graphic>
        </wp:anchor>
      </w:drawing>
    </w:r>
  </w:p>
  <w:p w:rsidR="00000000" w:rsidDel="00000000" w:rsidP="00000000" w:rsidRDefault="00000000" w:rsidRPr="00000000" w14:paraId="0000002F">
    <w:pPr>
      <w:jc w:val="center"/>
      <w:rPr>
        <w:rFonts w:ascii="Times New Roman" w:cs="Times New Roman" w:eastAsia="Times New Roman" w:hAnsi="Times New Roman"/>
        <w:b w:val="1"/>
        <w:color w:val="a02b93"/>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koOC5F/wxKQ" TargetMode="External"/><Relationship Id="rId84" Type="http://schemas.openxmlformats.org/officeDocument/2006/relationships/header" Target="header1.xml"/><Relationship Id="rId83" Type="http://schemas.openxmlformats.org/officeDocument/2006/relationships/hyperlink" Target="http://paperpile.com/b/koOC5F/AT0O" TargetMode="External"/><Relationship Id="rId42" Type="http://schemas.openxmlformats.org/officeDocument/2006/relationships/hyperlink" Target="https://www.jchs.harvard.edu/blog/more-42-million-us-households-were-cost-burdened-2022." TargetMode="External"/><Relationship Id="rId41" Type="http://schemas.openxmlformats.org/officeDocument/2006/relationships/hyperlink" Target="http://paperpile.com/b/koOC5F/kXsS" TargetMode="External"/><Relationship Id="rId85" Type="http://schemas.openxmlformats.org/officeDocument/2006/relationships/footer" Target="footer1.xml"/><Relationship Id="rId44" Type="http://schemas.openxmlformats.org/officeDocument/2006/relationships/hyperlink" Target="http://paperpile.com/b/koOC5F/lBb7" TargetMode="External"/><Relationship Id="rId43" Type="http://schemas.openxmlformats.org/officeDocument/2006/relationships/hyperlink" Target="http://paperpile.com/b/koOC5F/kXsS" TargetMode="External"/><Relationship Id="rId46" Type="http://schemas.openxmlformats.org/officeDocument/2006/relationships/hyperlink" Target="http://paperpile.com/b/koOC5F/lBb7" TargetMode="External"/><Relationship Id="rId45" Type="http://schemas.openxmlformats.org/officeDocument/2006/relationships/hyperlink" Target="http://paperpile.com/b/koOC5F/lBb7" TargetMode="External"/><Relationship Id="rId80" Type="http://schemas.openxmlformats.org/officeDocument/2006/relationships/hyperlink" Target="http://paperpile.com/b/koOC5F/up11" TargetMode="External"/><Relationship Id="rId82" Type="http://schemas.openxmlformats.org/officeDocument/2006/relationships/hyperlink" Target="http://paperpile.com/b/koOC5F/AT0O" TargetMode="External"/><Relationship Id="rId81" Type="http://schemas.openxmlformats.org/officeDocument/2006/relationships/hyperlink" Target="http://paperpile.com/b/koOC5F/AT0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perpile.com/c/koOC5F/Ga4A" TargetMode="External"/><Relationship Id="rId48" Type="http://schemas.openxmlformats.org/officeDocument/2006/relationships/hyperlink" Target="http://paperpile.com/b/koOC5F/Mb1H" TargetMode="External"/><Relationship Id="rId47" Type="http://schemas.openxmlformats.org/officeDocument/2006/relationships/hyperlink" Target="http://paperpile.com/b/koOC5F/Mb1H" TargetMode="External"/><Relationship Id="rId49" Type="http://schemas.openxmlformats.org/officeDocument/2006/relationships/hyperlink" Target="http://paperpile.com/b/koOC5F/Mb1H"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aperpile.com/c/koOC5F/dMq1" TargetMode="External"/><Relationship Id="rId8" Type="http://schemas.openxmlformats.org/officeDocument/2006/relationships/hyperlink" Target="https://paperpile.com/c/koOC5F/GSdj" TargetMode="External"/><Relationship Id="rId73" Type="http://schemas.openxmlformats.org/officeDocument/2006/relationships/hyperlink" Target="http://www.nyc.gov/office-of-the-mayor/news/940-24/mayor-adams-administration-deliver-safer-more-affordable-new-york-city-2024." TargetMode="External"/><Relationship Id="rId72" Type="http://schemas.openxmlformats.org/officeDocument/2006/relationships/hyperlink" Target="http://paperpile.com/b/koOC5F/Clr9" TargetMode="External"/><Relationship Id="rId31" Type="http://schemas.openxmlformats.org/officeDocument/2006/relationships/hyperlink" Target="http://paperpile.com/b/koOC5F/dMq1" TargetMode="External"/><Relationship Id="rId75" Type="http://schemas.openxmlformats.org/officeDocument/2006/relationships/hyperlink" Target="http://paperpile.com/b/koOC5F/VJoL" TargetMode="External"/><Relationship Id="rId30" Type="http://schemas.openxmlformats.org/officeDocument/2006/relationships/hyperlink" Target="https://www.feedingamerica.org/." TargetMode="External"/><Relationship Id="rId74" Type="http://schemas.openxmlformats.org/officeDocument/2006/relationships/hyperlink" Target="http://paperpile.com/b/koOC5F/Clr9" TargetMode="External"/><Relationship Id="rId33" Type="http://schemas.openxmlformats.org/officeDocument/2006/relationships/hyperlink" Target="https://map.feedingamerica.org/." TargetMode="External"/><Relationship Id="rId77" Type="http://schemas.openxmlformats.org/officeDocument/2006/relationships/hyperlink" Target="http://paperpile.com/b/koOC5F/VJoL" TargetMode="External"/><Relationship Id="rId32" Type="http://schemas.openxmlformats.org/officeDocument/2006/relationships/hyperlink" Target="http://paperpile.com/b/koOC5F/GSdj" TargetMode="External"/><Relationship Id="rId76" Type="http://schemas.openxmlformats.org/officeDocument/2006/relationships/hyperlink" Target="https://www.urban.org/sites/default/files/publication/104148/eviction-prevention-and-diversion-programs-early-lessons-from-the-pandemic_0_0.pdf." TargetMode="External"/><Relationship Id="rId35" Type="http://schemas.openxmlformats.org/officeDocument/2006/relationships/hyperlink" Target="http://paperpile.com/b/koOC5F/Ga4A" TargetMode="External"/><Relationship Id="rId79" Type="http://schemas.openxmlformats.org/officeDocument/2006/relationships/hyperlink" Target="https://commonbond.org/eviction-prevention-social-return-on-investment/." TargetMode="External"/><Relationship Id="rId34" Type="http://schemas.openxmlformats.org/officeDocument/2006/relationships/hyperlink" Target="http://paperpile.com/b/koOC5F/GSdj" TargetMode="External"/><Relationship Id="rId78" Type="http://schemas.openxmlformats.org/officeDocument/2006/relationships/hyperlink" Target="http://paperpile.com/b/koOC5F/up11" TargetMode="External"/><Relationship Id="rId71" Type="http://schemas.openxmlformats.org/officeDocument/2006/relationships/hyperlink" Target="http://dx.doi.org/10.1016/j.acap.2019.04.004" TargetMode="External"/><Relationship Id="rId70" Type="http://schemas.openxmlformats.org/officeDocument/2006/relationships/hyperlink" Target="http://paperpile.com/b/koOC5F/HdbE" TargetMode="External"/><Relationship Id="rId37" Type="http://schemas.openxmlformats.org/officeDocument/2006/relationships/hyperlink" Target="http://paperpile.com/b/koOC5F/Ga4A" TargetMode="External"/><Relationship Id="rId36" Type="http://schemas.openxmlformats.org/officeDocument/2006/relationships/hyperlink" Target="https://unitedwaynyc.org/half-of-nyc-households-do-not-make-enough-money-to-cover-basic-needs-report/." TargetMode="External"/><Relationship Id="rId39" Type="http://schemas.openxmlformats.org/officeDocument/2006/relationships/hyperlink" Target="https://www.jchs.harvard.edu/blog/home-price-income-ratio-reaches-record-high-0." TargetMode="External"/><Relationship Id="rId38" Type="http://schemas.openxmlformats.org/officeDocument/2006/relationships/hyperlink" Target="http://paperpile.com/b/koOC5F/wxKQ" TargetMode="External"/><Relationship Id="rId62" Type="http://schemas.openxmlformats.org/officeDocument/2006/relationships/hyperlink" Target="http://paperpile.com/b/koOC5F/GWZ5" TargetMode="External"/><Relationship Id="rId61" Type="http://schemas.openxmlformats.org/officeDocument/2006/relationships/hyperlink" Target="http://paperpile.com/b/koOC5F/BUga" TargetMode="External"/><Relationship Id="rId20" Type="http://schemas.openxmlformats.org/officeDocument/2006/relationships/hyperlink" Target="https://paperpile.com/c/koOC5F/BUga" TargetMode="External"/><Relationship Id="rId64" Type="http://schemas.openxmlformats.org/officeDocument/2006/relationships/hyperlink" Target="http://paperpile.com/b/koOC5F/GWZ5" TargetMode="External"/><Relationship Id="rId63" Type="http://schemas.openxmlformats.org/officeDocument/2006/relationships/hyperlink" Target="http://paperpile.com/b/koOC5F/GWZ5" TargetMode="External"/><Relationship Id="rId22" Type="http://schemas.openxmlformats.org/officeDocument/2006/relationships/hyperlink" Target="https://paperpile.com/c/koOC5F/HdbE" TargetMode="External"/><Relationship Id="rId66" Type="http://schemas.openxmlformats.org/officeDocument/2006/relationships/hyperlink" Target="https://a816-dohbesp.nyc.gov/IndicatorPublic/data-stories/housing-creates-health/#:~:text=Housing%20affordability%3A%20lack%20of%20affordable%20housing%20forces%20difficult%20choices%20between%20essentials.&amp;text=Across%20New%20York%2C%20half%20of,for%20food%20and%20other%20essentials." TargetMode="External"/><Relationship Id="rId21" Type="http://schemas.openxmlformats.org/officeDocument/2006/relationships/hyperlink" Target="https://paperpile.com/c/koOC5F/GWZ5" TargetMode="External"/><Relationship Id="rId65" Type="http://schemas.openxmlformats.org/officeDocument/2006/relationships/hyperlink" Target="http://paperpile.com/b/koOC5F/ksOB" TargetMode="External"/><Relationship Id="rId24" Type="http://schemas.openxmlformats.org/officeDocument/2006/relationships/hyperlink" Target="https://paperpile.com/c/koOC5F/VJoL+up11+AT0O" TargetMode="External"/><Relationship Id="rId68" Type="http://schemas.openxmlformats.org/officeDocument/2006/relationships/hyperlink" Target="http://paperpile.com/b/koOC5F/HdbE" TargetMode="External"/><Relationship Id="rId23" Type="http://schemas.openxmlformats.org/officeDocument/2006/relationships/hyperlink" Target="https://paperpile.com/c/koOC5F/Clr9" TargetMode="External"/><Relationship Id="rId67" Type="http://schemas.openxmlformats.org/officeDocument/2006/relationships/hyperlink" Target="http://paperpile.com/b/koOC5F/ksOB" TargetMode="External"/><Relationship Id="rId60" Type="http://schemas.openxmlformats.org/officeDocument/2006/relationships/hyperlink" Target="http://paperpile.com/b/koOC5F/BUga" TargetMode="External"/><Relationship Id="rId26" Type="http://schemas.openxmlformats.org/officeDocument/2006/relationships/hyperlink" Target="https://nycfoodresearchco.org/resources-for-nyc-food-entrepreneurs/" TargetMode="External"/><Relationship Id="rId25" Type="http://schemas.openxmlformats.org/officeDocument/2006/relationships/hyperlink" Target="https://nycfoodresearchco.org/resources-for-nyc-food-entrepreneurs/" TargetMode="External"/><Relationship Id="rId69" Type="http://schemas.openxmlformats.org/officeDocument/2006/relationships/hyperlink" Target="http://paperpile.com/b/koOC5F/HdbE" TargetMode="External"/><Relationship Id="rId28" Type="http://schemas.openxmlformats.org/officeDocument/2006/relationships/hyperlink" Target="https://www.instagram.com/nyuseedprogram/" TargetMode="External"/><Relationship Id="rId27" Type="http://schemas.openxmlformats.org/officeDocument/2006/relationships/hyperlink" Target="https://www.linkedin.com/in/feed-collaborative/" TargetMode="External"/><Relationship Id="rId29" Type="http://schemas.openxmlformats.org/officeDocument/2006/relationships/hyperlink" Target="http://paperpile.com/b/koOC5F/dMq1" TargetMode="External"/><Relationship Id="rId51" Type="http://schemas.openxmlformats.org/officeDocument/2006/relationships/hyperlink" Target="http://paperpile.com/b/koOC5F/s1OX" TargetMode="External"/><Relationship Id="rId50" Type="http://schemas.openxmlformats.org/officeDocument/2006/relationships/hyperlink" Target="http://dx.doi.org/10.1080/15528014.2024.2406081" TargetMode="External"/><Relationship Id="rId53" Type="http://schemas.openxmlformats.org/officeDocument/2006/relationships/hyperlink" Target="http://paperpile.com/b/koOC5F/s1OX" TargetMode="External"/><Relationship Id="rId52" Type="http://schemas.openxmlformats.org/officeDocument/2006/relationships/hyperlink" Target="http://paperpile.com/b/koOC5F/s1OX" TargetMode="External"/><Relationship Id="rId11" Type="http://schemas.openxmlformats.org/officeDocument/2006/relationships/hyperlink" Target="https://paperpile.com/c/koOC5F/kXsS" TargetMode="External"/><Relationship Id="rId55" Type="http://schemas.openxmlformats.org/officeDocument/2006/relationships/hyperlink" Target="http://paperpile.com/b/koOC5F/5yPF" TargetMode="External"/><Relationship Id="rId10" Type="http://schemas.openxmlformats.org/officeDocument/2006/relationships/hyperlink" Target="https://paperpile.com/c/koOC5F/wxKQ" TargetMode="External"/><Relationship Id="rId54" Type="http://schemas.openxmlformats.org/officeDocument/2006/relationships/hyperlink" Target="http://dx.doi.org/10.1016/j.jand.2021.08.100" TargetMode="External"/><Relationship Id="rId13" Type="http://schemas.openxmlformats.org/officeDocument/2006/relationships/hyperlink" Target="https://paperpile.com/c/koOC5F/Mb1H" TargetMode="External"/><Relationship Id="rId57" Type="http://schemas.openxmlformats.org/officeDocument/2006/relationships/hyperlink" Target="http://paperpile.com/b/koOC5F/5yPF" TargetMode="External"/><Relationship Id="rId12" Type="http://schemas.openxmlformats.org/officeDocument/2006/relationships/hyperlink" Target="https://paperpile.com/c/koOC5F/lBb7" TargetMode="External"/><Relationship Id="rId56" Type="http://schemas.openxmlformats.org/officeDocument/2006/relationships/hyperlink" Target="http://paperpile.com/b/koOC5F/5yPF" TargetMode="External"/><Relationship Id="rId15" Type="http://schemas.openxmlformats.org/officeDocument/2006/relationships/hyperlink" Target="https://paperpile.com/c/koOC5F/5yPF" TargetMode="External"/><Relationship Id="rId59" Type="http://schemas.openxmlformats.org/officeDocument/2006/relationships/hyperlink" Target="http://paperpile.com/b/koOC5F/BUga" TargetMode="External"/><Relationship Id="rId14" Type="http://schemas.openxmlformats.org/officeDocument/2006/relationships/hyperlink" Target="https://paperpile.com/c/koOC5F/s1OX" TargetMode="External"/><Relationship Id="rId58" Type="http://schemas.openxmlformats.org/officeDocument/2006/relationships/hyperlink" Target="http://dx.doi.org/10.1016/j.jand.2020.08.081" TargetMode="External"/><Relationship Id="rId17" Type="http://schemas.openxmlformats.org/officeDocument/2006/relationships/hyperlink" Target="https://paperpile.com/c/koOC5F/BUga" TargetMode="External"/><Relationship Id="rId16" Type="http://schemas.openxmlformats.org/officeDocument/2006/relationships/hyperlink" Target="https://paperpile.com/c/koOC5F/5yPF" TargetMode="External"/><Relationship Id="rId19" Type="http://schemas.openxmlformats.org/officeDocument/2006/relationships/hyperlink" Target="https://paperpile.com/c/koOC5F/ksOB" TargetMode="External"/><Relationship Id="rId18" Type="http://schemas.openxmlformats.org/officeDocument/2006/relationships/hyperlink" Target="https://paperpile.com/c/koOC5F/GWZ5+Mb1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